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F1B2D" w:val="clear"/>
            <w:tcMar>
              <w:top w:type="dxa" w:w="300"/>
              <w:left w:type="dxa" w:w="300"/>
              <w:bottom w:type="dxa" w:w="300"/>
              <w:right w:type="dxa" w:w="300"/>
            </w:tcMar>
          </w:tcPr>
          <w:p>
            <w:r>
              <w:rPr>
                <w:rFonts w:ascii="Trebuchet MS" w:cs="Trebuchet MS" w:eastAsia="Trebuchet MS" w:hAnsi="Trebuchet MS"/>
                <w:b/>
                <w:bCs/>
                <w:color w:val="FFFFFF"/>
                <w:sz w:val="44"/>
                <w:szCs w:val="44"/>
              </w:rPr>
              <w:t xml:space="preserve">TREASURY AI POLICY</w:t>
            </w:r>
          </w:p>
          <w:p>
            <w:pPr>
              <w:spacing w:before="120"/>
            </w:pPr>
            <w:r>
              <w:rPr>
                <w:rFonts w:ascii="Calibri" w:cs="Calibri" w:eastAsia="Calibri" w:hAnsi="Calibri"/>
                <w:color w:val="45B7AA"/>
                <w:sz w:val="22"/>
                <w:szCs w:val="22"/>
              </w:rPr>
              <w:t xml:space="preserve">Governance Framework for Artificial Intelligence Use in Treasury Operations</w:t>
            </w:r>
          </w:p>
        </w:tc>
      </w:tr>
    </w:tbl>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tcPr>
          <w:p>
            <w:r>
              <w:rPr>
                <w:rFonts w:ascii="Calibri" w:cs="Calibri" w:eastAsia="Calibri" w:hAnsi="Calibri"/>
                <w:b/>
                <w:bCs/>
                <w:color w:val="FFFFFF"/>
                <w:sz w:val="20"/>
                <w:szCs w:val="20"/>
              </w:rPr>
              <w:t xml:space="preserve">Document Owner</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color w:val="6B7280"/>
                <w:sz w:val="18"/>
                <w:szCs w:val="18"/>
              </w:rPr>
              <w:t xml:space="preserve">[Treasury Manager / Head of Treasury]</w:t>
            </w:r>
          </w:p>
          <w:p>
            <w:r>
              <w:rPr>
                <w:rFonts w:ascii="Calibri" w:cs="Calibri" w:eastAsia="Calibri" w:hAnsi="Calibri"/>
                <w:sz w:val="18"/>
                <w:szCs w:val="18"/>
              </w:rPr>
              <w:t xml:space="preserve"/>
            </w:r>
          </w:p>
        </w:tc>
      </w:tr>
      <w:tr>
        <w:tc>
          <w:tcPr>
            <w:tcW w:type="dxa" w:w="30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tcPr>
          <w:p>
            <w:r>
              <w:rPr>
                <w:rFonts w:ascii="Calibri" w:cs="Calibri" w:eastAsia="Calibri" w:hAnsi="Calibri"/>
                <w:b/>
                <w:bCs/>
                <w:color w:val="FFFFFF"/>
                <w:sz w:val="20"/>
                <w:szCs w:val="20"/>
              </w:rPr>
              <w:t xml:space="preserve">Effective Date</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color w:val="6B7280"/>
                <w:sz w:val="18"/>
                <w:szCs w:val="18"/>
              </w:rPr>
              <w:t xml:space="preserve">[DD/MM/YYYY]</w:t>
            </w:r>
          </w:p>
          <w:p>
            <w:r>
              <w:rPr>
                <w:rFonts w:ascii="Calibri" w:cs="Calibri" w:eastAsia="Calibri" w:hAnsi="Calibri"/>
                <w:sz w:val="18"/>
                <w:szCs w:val="18"/>
              </w:rPr>
              <w:t xml:space="preserve"/>
            </w:r>
          </w:p>
        </w:tc>
      </w:tr>
      <w:tr>
        <w:tc>
          <w:tcPr>
            <w:tcW w:type="dxa" w:w="30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tcPr>
          <w:p>
            <w:r>
              <w:rPr>
                <w:rFonts w:ascii="Calibri" w:cs="Calibri" w:eastAsia="Calibri" w:hAnsi="Calibri"/>
                <w:b/>
                <w:bCs/>
                <w:color w:val="FFFFFF"/>
                <w:sz w:val="20"/>
                <w:szCs w:val="20"/>
              </w:rPr>
              <w:t xml:space="preserve">Review Frequency</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color w:val="6B7280"/>
                <w:sz w:val="18"/>
                <w:szCs w:val="18"/>
              </w:rPr>
              <w:t xml:space="preserve">Quarterly / Semi-annual / Annual</w:t>
            </w:r>
          </w:p>
          <w:p>
            <w:r>
              <w:rPr>
                <w:rFonts w:ascii="Calibri" w:cs="Calibri" w:eastAsia="Calibri" w:hAnsi="Calibri"/>
                <w:sz w:val="18"/>
                <w:szCs w:val="18"/>
              </w:rPr>
              <w:t xml:space="preserve"/>
            </w:r>
          </w:p>
        </w:tc>
      </w:tr>
      <w:tr>
        <w:tc>
          <w:tcPr>
            <w:tcW w:type="dxa" w:w="30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tcPr>
          <w:p>
            <w:r>
              <w:rPr>
                <w:rFonts w:ascii="Calibri" w:cs="Calibri" w:eastAsia="Calibri" w:hAnsi="Calibri"/>
                <w:b/>
                <w:bCs/>
                <w:color w:val="FFFFFF"/>
                <w:sz w:val="20"/>
                <w:szCs w:val="20"/>
              </w:rPr>
              <w:t xml:space="preserve">Approved By</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color w:val="6B7280"/>
                <w:sz w:val="18"/>
                <w:szCs w:val="18"/>
              </w:rPr>
              <w:t xml:space="preserve">[CFO / CTO / Head of Risk]</w:t>
            </w:r>
          </w:p>
          <w:p>
            <w:r>
              <w:rPr>
                <w:rFonts w:ascii="Calibri" w:cs="Calibri" w:eastAsia="Calibri" w:hAnsi="Calibri"/>
                <w:sz w:val="18"/>
                <w:szCs w:val="18"/>
              </w:rPr>
              <w:t xml:space="preserve"/>
            </w:r>
          </w:p>
        </w:tc>
      </w:tr>
      <w:tr>
        <w:tc>
          <w:tcPr>
            <w:tcW w:type="dxa" w:w="30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tcPr>
          <w:p>
            <w:r>
              <w:rPr>
                <w:rFonts w:ascii="Calibri" w:cs="Calibri" w:eastAsia="Calibri" w:hAnsi="Calibri"/>
                <w:b/>
                <w:bCs/>
                <w:color w:val="FFFFFF"/>
                <w:sz w:val="20"/>
                <w:szCs w:val="20"/>
              </w:rPr>
              <w:t xml:space="preserve">Version</w:t>
            </w:r>
          </w:p>
        </w:tc>
        <w:tc>
          <w:tcPr>
            <w:tcW w:type="dxa" w:w="6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color w:val="6B7280"/>
                <w:sz w:val="18"/>
                <w:szCs w:val="18"/>
              </w:rPr>
              <w:t xml:space="preserve">1.0</w:t>
            </w:r>
          </w:p>
          <w:p>
            <w:r>
              <w:rPr>
                <w:rFonts w:ascii="Calibri" w:cs="Calibri" w:eastAsia="Calibri" w:hAnsi="Calibri"/>
                <w:sz w:val="18"/>
                <w:szCs w:val="18"/>
              </w:rPr>
              <w:t xml:space="preserve"/>
            </w:r>
          </w:p>
        </w:tc>
      </w:tr>
    </w:tbl>
    <w:p>
      <w:pPr>
        <w:spacing w:before="200"/>
      </w:pPr>
    </w:p>
    <w:p>
      <w:pPr>
        <w:spacing w:after="120"/>
      </w:pPr>
      <w:r>
        <w:rPr>
          <w:rFonts w:ascii="Calibri" w:cs="Calibri" w:eastAsia="Calibri" w:hAnsi="Calibri"/>
          <w:color w:val="1A1A2E"/>
          <w:sz w:val="22"/>
          <w:szCs w:val="22"/>
        </w:rPr>
        <w:t xml:space="preserve">This document establishes the governance framework for the use of Artificial Intelligence tools within the Treasury function. It defines approved tools, data handling rules, audit requirements, validation procedures, and escalation processes.</w:t>
      </w:r>
    </w:p>
    <w:p>
      <w:pPr>
        <w:spacing w:after="120"/>
      </w:pPr>
      <w:r>
        <w:rPr>
          <w:rFonts w:ascii="Calibri" w:cs="Calibri" w:eastAsia="Calibri" w:hAnsi="Calibri"/>
          <w:b/>
          <w:bCs/>
          <w:color w:val="1A1A2E"/>
          <w:sz w:val="22"/>
          <w:szCs w:val="22"/>
        </w:rPr>
        <w:t xml:space="preserve">All treasury team members are required to read, understand, and comply with this policy before using any AI tool for treasury-related work.</w:t>
      </w:r>
    </w:p>
    <w:p>
      <w:r>
        <w:br w:type="page"/>
      </w:r>
    </w:p>
    <w:p>
      <w:pPr>
        <w:pStyle w:val="Heading1"/>
      </w:pPr>
      <w:r>
        <w:t xml:space="preserve">1. Approved AI Tools</w:t>
      </w:r>
    </w:p>
    <w:p>
      <w:pPr>
        <w:spacing w:after="120"/>
      </w:pPr>
      <w:r>
        <w:rPr>
          <w:rFonts w:ascii="Calibri" w:cs="Calibri" w:eastAsia="Calibri" w:hAnsi="Calibri"/>
          <w:color w:val="1A1A2E"/>
          <w:sz w:val="22"/>
          <w:szCs w:val="22"/>
        </w:rPr>
        <w:t xml:space="preserve">Only tools listed below may be used for treasury work. Use of any other AI tool, including free-tier consumer products, is prohibited.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200"/>
        <w:gridCol w:w="1600"/>
        <w:gridCol w:w="1600"/>
        <w:gridCol w:w="3160"/>
      </w:tblGrid>
      <w:tr>
        <w:tc>
          <w:tcPr>
            <w:tcW w:type="dxa" w:w="18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Tool</w:t>
            </w:r>
          </w:p>
        </w:tc>
        <w:tc>
          <w:tcPr>
            <w:tcW w:type="dxa" w:w="12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Status</w:t>
            </w:r>
          </w:p>
        </w:tc>
        <w:tc>
          <w:tcPr>
            <w:tcW w:type="dxa" w:w="16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Authorized Users</w:t>
            </w:r>
          </w:p>
        </w:tc>
        <w:tc>
          <w:tcPr>
            <w:tcW w:type="dxa" w:w="16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Data Scope</w:t>
            </w:r>
          </w:p>
        </w:tc>
        <w:tc>
          <w:tcPr>
            <w:tcW w:type="dxa" w:w="316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Conditions</w:t>
            </w:r>
          </w:p>
        </w:tc>
      </w:tr>
      <w:tr>
        <w:tc>
          <w:tcPr>
            <w:tcW w:type="dxa" w:w="18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ChatGPT Team / Enterprise</w:t>
            </w:r>
          </w:p>
        </w:tc>
        <w:tc>
          <w:tcPr>
            <w:tcW w:type="dxa" w:w="12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27AE60"/>
                <w:sz w:val="20"/>
                <w:szCs w:val="20"/>
              </w:rPr>
              <w:t xml:space="preserve">Approved</w:t>
            </w:r>
          </w:p>
        </w:tc>
        <w:tc>
          <w:tcPr>
            <w:tcW w:type="dxa" w:w="16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[Role level]+</w:t>
            </w:r>
          </w:p>
        </w:tc>
        <w:tc>
          <w:tcPr>
            <w:tcW w:type="dxa" w:w="16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Sanitized data</w:t>
            </w:r>
          </w:p>
        </w:tc>
        <w:tc>
          <w:tcPr>
            <w:tcW w:type="dxa" w:w="316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Enterprise license. Data not used for training. Confirm with IT.</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Claude Pro / Enterprise</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27AE60"/>
                <w:sz w:val="20"/>
                <w:szCs w:val="20"/>
              </w:rPr>
              <w:t xml:space="preserve">Approved</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[Role level]+</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Sanitized data</w:t>
            </w:r>
          </w:p>
        </w:tc>
        <w:tc>
          <w:tcPr>
            <w:tcW w:type="dxa" w:w="3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Enterprise tier. Confirm data retention policy with vendor.</w:t>
            </w:r>
          </w:p>
        </w:tc>
      </w:tr>
      <w:tr>
        <w:tc>
          <w:tcPr>
            <w:tcW w:type="dxa" w:w="18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Microsoft Copilot</w:t>
            </w:r>
          </w:p>
        </w:tc>
        <w:tc>
          <w:tcPr>
            <w:tcW w:type="dxa" w:w="12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F39C12"/>
                <w:sz w:val="20"/>
                <w:szCs w:val="20"/>
              </w:rPr>
              <w:t xml:space="preserve">Under Review</w:t>
            </w:r>
          </w:p>
        </w:tc>
        <w:tc>
          <w:tcPr>
            <w:tcW w:type="dxa" w:w="16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Pilot group only</w:t>
            </w:r>
          </w:p>
        </w:tc>
        <w:tc>
          <w:tcPr>
            <w:tcW w:type="dxa" w:w="16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Internal docs</w:t>
            </w:r>
          </w:p>
        </w:tc>
        <w:tc>
          <w:tcPr>
            <w:tcW w:type="dxa" w:w="316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Pending security assessment. Do not use until approved.</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Free ChatGPT / Gemini / etc.</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E74C3C"/>
                <w:sz w:val="20"/>
                <w:szCs w:val="20"/>
              </w:rPr>
              <w:t xml:space="preserve">Prohibited</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Nobody</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Nothing</w:t>
            </w:r>
          </w:p>
        </w:tc>
        <w:tc>
          <w:tcPr>
            <w:tcW w:type="dxa" w:w="3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Data sent to free-tier tools is used for training. Zero control over retention.</w:t>
            </w:r>
          </w:p>
        </w:tc>
      </w:tr>
      <w:tr>
        <w:tc>
          <w:tcPr>
            <w:tcW w:type="dxa" w:w="18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Custom AI agents / GPTs</w:t>
            </w:r>
          </w:p>
        </w:tc>
        <w:tc>
          <w:tcPr>
            <w:tcW w:type="dxa" w:w="12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F39C12"/>
                <w:sz w:val="20"/>
                <w:szCs w:val="20"/>
              </w:rPr>
              <w:t xml:space="preserve">Requires Approval</w:t>
            </w:r>
          </w:p>
        </w:tc>
        <w:tc>
          <w:tcPr>
            <w:tcW w:type="dxa" w:w="16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Manager+</w:t>
            </w:r>
          </w:p>
        </w:tc>
        <w:tc>
          <w:tcPr>
            <w:tcW w:type="dxa" w:w="16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Case by case</w:t>
            </w:r>
          </w:p>
        </w:tc>
        <w:tc>
          <w:tcPr>
            <w:tcW w:type="dxa" w:w="316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Must pass IT security review before deployment.</w:t>
            </w:r>
          </w:p>
        </w:tc>
      </w:tr>
    </w:tbl>
    <w:p>
      <w:pPr>
        <w:spacing w:before="100"/>
      </w:pPr>
    </w:p>
    <w:p>
      <w:pPr>
        <w:spacing w:after="120"/>
      </w:pPr>
      <w:r>
        <w:rPr>
          <w:rFonts w:ascii="Calibri" w:cs="Calibri" w:eastAsia="Calibri" w:hAnsi="Calibri"/>
          <w:color w:val="1A1A2E"/>
          <w:sz w:val="22"/>
          <w:szCs w:val="22"/>
        </w:rPr>
        <w:t xml:space="preserve">Review and update this list quarterly. New tools must be evaluated by IT Security before treasury use.</w:t>
      </w:r>
    </w:p>
    <w:p>
      <w:pPr>
        <w:pStyle w:val="Heading1"/>
      </w:pPr>
      <w:r>
        <w:t xml:space="preserve">2. Data Classification</w:t>
      </w:r>
    </w:p>
    <w:p>
      <w:pPr>
        <w:spacing w:after="120"/>
      </w:pPr>
      <w:r>
        <w:rPr>
          <w:rFonts w:ascii="Calibri" w:cs="Calibri" w:eastAsia="Calibri" w:hAnsi="Calibri"/>
          <w:color w:val="1A1A2E"/>
          <w:sz w:val="22"/>
          <w:szCs w:val="22"/>
        </w:rPr>
        <w:t xml:space="preserve">All data sent to AI tools must be classified according to the following categories. When in doubt, treat data as RESTRICTED.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c>
          <w:tcPr>
            <w:tcW w:type="dxa" w:w="22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Classification</w:t>
            </w:r>
          </w:p>
        </w:tc>
        <w:tc>
          <w:tcPr>
            <w:tcW w:type="dxa" w:w="358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Description</w:t>
            </w:r>
          </w:p>
        </w:tc>
        <w:tc>
          <w:tcPr>
            <w:tcW w:type="dxa" w:w="358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Examples</w:t>
            </w:r>
          </w:p>
        </w:tc>
      </w:tr>
      <w:tr>
        <w:tc>
          <w:tcPr>
            <w:tcW w:type="dxa" w:w="2200"/>
            <w:tcBorders>
              <w:top w:val="single" w:color="CCCCCC" w:sz="1"/>
              <w:left w:val="single" w:color="CCCCCC" w:sz="1"/>
              <w:bottom w:val="single" w:color="CCCCCC" w:sz="1"/>
              <w:right w:val="single" w:color="CCCCCC" w:sz="1"/>
            </w:tcBorders>
            <w:shd w:fill="27AE60" w:val="clear"/>
            <w:tcMar>
              <w:top w:type="dxa" w:w="80"/>
              <w:left w:type="dxa" w:w="120"/>
              <w:bottom w:type="dxa" w:w="80"/>
              <w:right w:type="dxa" w:w="120"/>
            </w:tcMar>
          </w:tcPr>
          <w:p>
            <w:r>
              <w:rPr>
                <w:rFonts w:ascii="Calibri" w:cs="Calibri" w:eastAsia="Calibri" w:hAnsi="Calibri"/>
                <w:b/>
                <w:bCs/>
                <w:color w:val="FFFFFF"/>
                <w:sz w:val="20"/>
                <w:szCs w:val="20"/>
              </w:rPr>
              <w:t xml:space="preserve">PUBLIC / OPEN</w:t>
            </w:r>
          </w:p>
        </w:tc>
        <w:tc>
          <w:tcPr>
            <w:tcW w:type="dxa" w:w="3580"/>
            <w:tcBorders>
              <w:top w:val="single" w:color="CCCCCC" w:sz="1"/>
              <w:left w:val="single" w:color="CCCCCC" w:sz="1"/>
              <w:bottom w:val="single" w:color="CCCCCC" w:sz="1"/>
              <w:right w:val="single" w:color="CCCCCC" w:sz="1"/>
            </w:tcBorders>
            <w:shd w:fill="F0FAF7"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Data that is publicly available or contains no sensitive information. Can be sent to AI without modification.</w:t>
            </w:r>
          </w:p>
        </w:tc>
        <w:tc>
          <w:tcPr>
            <w:tcW w:type="dxa" w:w="3580"/>
            <w:tcBorders>
              <w:top w:val="single" w:color="CCCCCC" w:sz="1"/>
              <w:left w:val="single" w:color="CCCCCC" w:sz="1"/>
              <w:bottom w:val="single" w:color="CCCCCC" w:sz="1"/>
              <w:right w:val="single" w:color="CCCCCC" w:sz="1"/>
            </w:tcBorders>
            <w:shd w:fill="F0FAF7"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Public market rates, generic policy questions, formatting requests, methodology questions, general treasury calculations.</w:t>
            </w:r>
          </w:p>
        </w:tc>
      </w:tr>
      <w:tr>
        <w:tc>
          <w:tcPr>
            <w:tcW w:type="dxa" w:w="2200"/>
            <w:tcBorders>
              <w:top w:val="single" w:color="CCCCCC" w:sz="1"/>
              <w:left w:val="single" w:color="CCCCCC" w:sz="1"/>
              <w:bottom w:val="single" w:color="CCCCCC" w:sz="1"/>
              <w:right w:val="single" w:color="CCCCCC" w:sz="1"/>
            </w:tcBorders>
            <w:shd w:fill="F39C12" w:val="clear"/>
            <w:tcMar>
              <w:top w:type="dxa" w:w="80"/>
              <w:left w:type="dxa" w:w="120"/>
              <w:bottom w:type="dxa" w:w="80"/>
              <w:right w:type="dxa" w:w="120"/>
            </w:tcMar>
          </w:tcPr>
          <w:p>
            <w:r>
              <w:rPr>
                <w:rFonts w:ascii="Calibri" w:cs="Calibri" w:eastAsia="Calibri" w:hAnsi="Calibri"/>
                <w:b/>
                <w:bCs/>
                <w:color w:val="FFFFFF"/>
                <w:sz w:val="20"/>
                <w:szCs w:val="20"/>
              </w:rPr>
              <w:t xml:space="preserve">INTERNAL / SANITIZE</w:t>
            </w:r>
          </w:p>
        </w:tc>
        <w:tc>
          <w:tcPr>
            <w:tcW w:type="dxa" w:w="3580"/>
            <w:tcBorders>
              <w:top w:val="single" w:color="CCCCCC" w:sz="1"/>
              <w:left w:val="single" w:color="CCCCCC" w:sz="1"/>
              <w:bottom w:val="single" w:color="CCCCCC" w:sz="1"/>
              <w:right w:val="single" w:color="CCCCCC" w:sz="1"/>
            </w:tcBorders>
            <w:shd w:fill="FEF8EC"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Data that contains internal information but can be sent to AI after removing identifying details. Must be sanitized before use.</w:t>
            </w:r>
          </w:p>
        </w:tc>
        <w:tc>
          <w:tcPr>
            <w:tcW w:type="dxa" w:w="3580"/>
            <w:tcBorders>
              <w:top w:val="single" w:color="CCCCCC" w:sz="1"/>
              <w:left w:val="single" w:color="CCCCCC" w:sz="1"/>
              <w:bottom w:val="single" w:color="CCCCCC" w:sz="1"/>
              <w:right w:val="single" w:color="CCCCCC" w:sz="1"/>
            </w:tcBorders>
            <w:shd w:fill="FEF8EC"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Bank statements (remove counterparty names), forecasts (remove entity identifiers), deal terms (anonymize parties), payment files (mask IBANs), internal reports (strip personal names).</w:t>
            </w:r>
          </w:p>
        </w:tc>
      </w:tr>
      <w:tr>
        <w:tc>
          <w:tcPr>
            <w:tcW w:type="dxa" w:w="2200"/>
            <w:tcBorders>
              <w:top w:val="single" w:color="CCCCCC" w:sz="1"/>
              <w:left w:val="single" w:color="CCCCCC" w:sz="1"/>
              <w:bottom w:val="single" w:color="CCCCCC" w:sz="1"/>
              <w:right w:val="single" w:color="CCCCCC" w:sz="1"/>
            </w:tcBorders>
            <w:shd w:fill="E74C3C" w:val="clear"/>
            <w:tcMar>
              <w:top w:type="dxa" w:w="80"/>
              <w:left w:type="dxa" w:w="120"/>
              <w:bottom w:type="dxa" w:w="80"/>
              <w:right w:type="dxa" w:w="120"/>
            </w:tcMar>
          </w:tcPr>
          <w:p>
            <w:r>
              <w:rPr>
                <w:rFonts w:ascii="Calibri" w:cs="Calibri" w:eastAsia="Calibri" w:hAnsi="Calibri"/>
                <w:b/>
                <w:bCs/>
                <w:color w:val="FFFFFF"/>
                <w:sz w:val="20"/>
                <w:szCs w:val="20"/>
              </w:rPr>
              <w:t xml:space="preserve">RESTRICTED / NEVER</w:t>
            </w:r>
          </w:p>
        </w:tc>
        <w:tc>
          <w:tcPr>
            <w:tcW w:type="dxa" w:w="3580"/>
            <w:tcBorders>
              <w:top w:val="single" w:color="CCCCCC" w:sz="1"/>
              <w:left w:val="single" w:color="CCCCCC" w:sz="1"/>
              <w:bottom w:val="single" w:color="CCCCCC" w:sz="1"/>
              <w:right w:val="single" w:color="CCCCCC" w:sz="1"/>
            </w:tcBorders>
            <w:shd w:fill="FDF2F2"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Data that must never be sent to any external AI tool under any circumstances, regardless of tool tier or encryption.</w:t>
            </w:r>
          </w:p>
        </w:tc>
        <w:tc>
          <w:tcPr>
            <w:tcW w:type="dxa" w:w="3580"/>
            <w:tcBorders>
              <w:top w:val="single" w:color="CCCCCC" w:sz="1"/>
              <w:left w:val="single" w:color="CCCCCC" w:sz="1"/>
              <w:bottom w:val="single" w:color="CCCCCC" w:sz="1"/>
              <w:right w:val="single" w:color="CCCCCC" w:sz="1"/>
            </w:tcBorders>
            <w:shd w:fill="FDF2F2"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Bank account numbers, passwords, API keys, employee personal data (PII), unexecuted M&amp;A details, full counterparty names in active deals, board-level confidential information, SWIFT credentials.</w:t>
            </w:r>
          </w:p>
        </w:tc>
      </w:tr>
    </w:tbl>
    <w:p>
      <w:pPr>
        <w:spacing w:before="100"/>
      </w:pPr>
    </w:p>
    <w:p>
      <w:pPr>
        <w:pStyle w:val="Heading2"/>
      </w:pPr>
      <w:r>
        <w:t xml:space="preserve">2.1 Sanitization Guidelines</w:t>
      </w:r>
    </w:p>
    <w:p>
      <w:pPr>
        <w:pStyle w:val="ListParagraph"/>
        <w:numPr>
          <w:ilvl w:val="0"/>
          <w:numId w:val="2"/>
        </w:numPr>
        <w:spacing w:after="60"/>
      </w:pPr>
      <w:r>
        <w:rPr>
          <w:rFonts w:ascii="Calibri" w:cs="Calibri" w:eastAsia="Calibri" w:hAnsi="Calibri"/>
          <w:color w:val="1A1A2E"/>
          <w:sz w:val="22"/>
          <w:szCs w:val="22"/>
        </w:rPr>
        <w:t xml:space="preserve">Replace company names with Entity A, Entity B, etc.</w:t>
      </w:r>
    </w:p>
    <w:p>
      <w:pPr>
        <w:pStyle w:val="ListParagraph"/>
        <w:numPr>
          <w:ilvl w:val="0"/>
          <w:numId w:val="2"/>
        </w:numPr>
        <w:spacing w:after="60"/>
      </w:pPr>
      <w:r>
        <w:rPr>
          <w:rFonts w:ascii="Calibri" w:cs="Calibri" w:eastAsia="Calibri" w:hAnsi="Calibri"/>
          <w:color w:val="1A1A2E"/>
          <w:sz w:val="22"/>
          <w:szCs w:val="22"/>
        </w:rPr>
        <w:t xml:space="preserve">Replace bank names with Bank 1, Bank 2, etc.</w:t>
      </w:r>
    </w:p>
    <w:p>
      <w:pPr>
        <w:pStyle w:val="ListParagraph"/>
        <w:numPr>
          <w:ilvl w:val="0"/>
          <w:numId w:val="2"/>
        </w:numPr>
        <w:spacing w:after="60"/>
      </w:pPr>
      <w:r>
        <w:rPr>
          <w:rFonts w:ascii="Calibri" w:cs="Calibri" w:eastAsia="Calibri" w:hAnsi="Calibri"/>
          <w:color w:val="1A1A2E"/>
          <w:sz w:val="22"/>
          <w:szCs w:val="22"/>
        </w:rPr>
        <w:t xml:space="preserve">Replace counterparty names with Counterparty A, Counterparty B, etc.</w:t>
      </w:r>
    </w:p>
    <w:p>
      <w:pPr>
        <w:pStyle w:val="ListParagraph"/>
        <w:numPr>
          <w:ilvl w:val="0"/>
          <w:numId w:val="2"/>
        </w:numPr>
        <w:spacing w:after="60"/>
      </w:pPr>
      <w:r>
        <w:rPr>
          <w:rFonts w:ascii="Calibri" w:cs="Calibri" w:eastAsia="Calibri" w:hAnsi="Calibri"/>
          <w:color w:val="1A1A2E"/>
          <w:sz w:val="22"/>
          <w:szCs w:val="22"/>
        </w:rPr>
        <w:t xml:space="preserve">Mask IBANs: show only last 4 digits (e.g., ****1234).</w:t>
      </w:r>
    </w:p>
    <w:p>
      <w:pPr>
        <w:pStyle w:val="ListParagraph"/>
        <w:numPr>
          <w:ilvl w:val="0"/>
          <w:numId w:val="2"/>
        </w:numPr>
        <w:spacing w:after="60"/>
      </w:pPr>
      <w:r>
        <w:rPr>
          <w:rFonts w:ascii="Calibri" w:cs="Calibri" w:eastAsia="Calibri" w:hAnsi="Calibri"/>
          <w:color w:val="1A1A2E"/>
          <w:sz w:val="22"/>
          <w:szCs w:val="22"/>
        </w:rPr>
        <w:t xml:space="preserve">Remove any internal reference numbers that could identify deals.</w:t>
      </w:r>
    </w:p>
    <w:p>
      <w:pPr>
        <w:pStyle w:val="ListParagraph"/>
        <w:numPr>
          <w:ilvl w:val="0"/>
          <w:numId w:val="2"/>
        </w:numPr>
        <w:spacing w:after="60"/>
      </w:pPr>
      <w:r>
        <w:rPr>
          <w:rFonts w:ascii="Calibri" w:cs="Calibri" w:eastAsia="Calibri" w:hAnsi="Calibri"/>
          <w:color w:val="1A1A2E"/>
          <w:sz w:val="22"/>
          <w:szCs w:val="22"/>
        </w:rPr>
        <w:t xml:space="preserve">Replace employee names with Role Title (e.g., Treasury Analyst, CFO).</w:t>
      </w:r>
    </w:p>
    <w:p>
      <w:pPr>
        <w:pStyle w:val="Heading1"/>
      </w:pPr>
      <w:r>
        <w:t xml:space="preserve">3. Audit Trail Requirements</w:t>
      </w:r>
    </w:p>
    <w:p>
      <w:pPr>
        <w:spacing w:after="120"/>
      </w:pPr>
      <w:r>
        <w:rPr>
          <w:rFonts w:ascii="Calibri" w:cs="Calibri" w:eastAsia="Calibri" w:hAnsi="Calibri"/>
          <w:color w:val="1A1A2E"/>
          <w:sz w:val="22"/>
          <w:szCs w:val="22"/>
        </w:rPr>
        <w:t xml:space="preserve">Every use of AI for treasury work that generates an output used in a decision, report, or process must be logged. The audit trail is mandatory for regulatory compliance and internal governance.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3480"/>
      </w:tblGrid>
      <w:tr>
        <w:tc>
          <w:tcPr>
            <w:tcW w:type="dxa" w:w="24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Field</w:t>
            </w:r>
          </w:p>
        </w:tc>
        <w:tc>
          <w:tcPr>
            <w:tcW w:type="dxa" w:w="348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Description</w:t>
            </w:r>
          </w:p>
        </w:tc>
        <w:tc>
          <w:tcPr>
            <w:tcW w:type="dxa" w:w="348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Example</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Timestamp</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Date and time of AI use</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2025-09-15 08:42:00 CET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User</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Email / name of person who initiated</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ana.popescu@company.com</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AI Tool + Model</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Tool name and model version</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ChatGPT Team, GPT-4o</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Process / Workflow</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Name of the treasury process</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Daily bank reconciliation</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Input Summary</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Description of data sent to AI</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MT940 statement, ING, EUR, Sep 2025, 347 txns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Output Type</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What AI produced</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Exception report: 12 unmatched items</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Validation Status</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Who reviewed and approved</w:t>
            </w:r>
          </w:p>
        </w:tc>
        <w:tc>
          <w:tcPr>
            <w:tcW w:type="dxa" w:w="348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Reviewed by M. Ionescu, approved at 09:15</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Final Disposition</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What happened with the output</w:t>
            </w:r>
          </w:p>
        </w:tc>
        <w:tc>
          <w:tcPr>
            <w:tcW w:type="dxa" w:w="34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Report emailed to CFO, archived in SharePoint</w:t>
            </w:r>
          </w:p>
        </w:tc>
      </w:tr>
    </w:tbl>
    <w:p>
      <w:pPr>
        <w:spacing w:before="100"/>
      </w:pPr>
    </w:p>
    <w:p>
      <w:pPr>
        <w:spacing w:after="120"/>
      </w:pPr>
      <w:r>
        <w:rPr>
          <w:rFonts w:ascii="Calibri" w:cs="Calibri" w:eastAsia="Calibri" w:hAnsi="Calibri"/>
          <w:color w:val="1A1A2E"/>
          <w:sz w:val="22"/>
          <w:szCs w:val="22"/>
        </w:rPr>
        <w:t xml:space="preserve">Implementation: Start with a shared Excel log (template provided). Migrate to automated logging when moving to Level 3+ workflows.</w:t>
      </w:r>
    </w:p>
    <w:p>
      <w:pPr>
        <w:pStyle w:val="Heading1"/>
      </w:pPr>
      <w:r>
        <w:t xml:space="preserve">4. Validation Rules</w:t>
      </w:r>
    </w:p>
    <w:p>
      <w:pPr>
        <w:spacing w:after="120"/>
      </w:pPr>
      <w:r>
        <w:rPr>
          <w:rFonts w:ascii="Calibri" w:cs="Calibri" w:eastAsia="Calibri" w:hAnsi="Calibri"/>
          <w:color w:val="1A1A2E"/>
          <w:sz w:val="22"/>
          <w:szCs w:val="22"/>
        </w:rPr>
        <w:t xml:space="preserve">AI output must never go directly into a report, payment file, or communication without human validation. The following rules apply: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4560"/>
        <w:gridCol w:w="2400"/>
      </w:tblGrid>
      <w:tr>
        <w:tc>
          <w:tcPr>
            <w:tcW w:type="dxa" w:w="24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Rule</w:t>
            </w:r>
          </w:p>
        </w:tc>
        <w:tc>
          <w:tcPr>
            <w:tcW w:type="dxa" w:w="456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Description</w:t>
            </w:r>
          </w:p>
        </w:tc>
        <w:tc>
          <w:tcPr>
            <w:tcW w:type="dxa" w:w="2400"/>
            <w:tcBorders>
              <w:top w:val="single" w:color="CCCCCC" w:sz="1"/>
              <w:left w:val="single" w:color="CCCCCC" w:sz="1"/>
              <w:bottom w:val="single" w:color="CCCCCC" w:sz="1"/>
              <w:right w:val="single" w:color="CCCCCC" w:sz="1"/>
            </w:tcBorders>
            <w:shd w:fill="14919B" w:val="clear"/>
            <w:tcMar>
              <w:top w:type="dxa" w:w="80"/>
              <w:left w:type="dxa" w:w="120"/>
              <w:bottom w:type="dxa" w:w="80"/>
              <w:right w:type="dxa" w:w="120"/>
            </w:tcMar>
            <w:vAlign w:val="center"/>
          </w:tcPr>
          <w:p>
            <w:r>
              <w:rPr>
                <w:rFonts w:ascii="Calibri" w:cs="Calibri" w:eastAsia="Calibri" w:hAnsi="Calibri"/>
                <w:b/>
                <w:bCs/>
                <w:color w:val="FFFFFF"/>
                <w:sz w:val="20"/>
                <w:szCs w:val="20"/>
              </w:rPr>
              <w:t xml:space="preserve">Applies To</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Four-Eyes Principle</w:t>
            </w:r>
          </w:p>
        </w:tc>
        <w:tc>
          <w:tcPr>
            <w:tcW w:type="dxa" w:w="456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Every AI-generated output must be reviewed by a human before it is used outside treasury.</w:t>
            </w:r>
          </w:p>
        </w:tc>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All AI outputs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Threshold Review</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AI outputs involving amounts exceeding [EUR 100,000 / define your threshold] require senior review (manager level or above).</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High-value outputs</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Spot-Check Requirement</w:t>
            </w:r>
          </w:p>
        </w:tc>
        <w:tc>
          <w:tcPr>
            <w:tcW w:type="dxa" w:w="456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For bulk processing (e.g., reconciliation matching), verify at least 5% of auto-matched items against source data.</w:t>
            </w:r>
          </w:p>
        </w:tc>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Bulk processing</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Source Verification</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Cross-check at least 3 key figures in any AI-generated report against original source documents.</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Reports and summaries</w:t>
            </w:r>
          </w:p>
        </w:tc>
      </w:tr>
      <w:tr>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Format Validation</w:t>
            </w:r>
          </w:p>
        </w:tc>
        <w:tc>
          <w:tcPr>
            <w:tcW w:type="dxa" w:w="456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Verify AI output format matches the required template before distribution.</w:t>
            </w:r>
          </w:p>
        </w:tc>
        <w:tc>
          <w:tcPr>
            <w:tcW w:type="dxa" w:w="2400"/>
            <w:tcBorders>
              <w:top w:val="single" w:color="CCCCCC" w:sz="1"/>
              <w:left w:val="single" w:color="CCCCCC" w:sz="1"/>
              <w:bottom w:val="single" w:color="CCCCCC" w:sz="1"/>
              <w:right w:val="single" w:color="CCCCCC" w:sz="1"/>
            </w:tcBorders>
            <w:shd w:fill="F7FAFA"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External-facing outputs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bCs/>
                <w:color w:val="1A1A2E"/>
                <w:sz w:val="20"/>
                <w:szCs w:val="20"/>
              </w:rPr>
              <w:t xml:space="preserve">No Blind Copy-Paste</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1A1A2E"/>
                <w:sz w:val="20"/>
                <w:szCs w:val="20"/>
              </w:rPr>
              <w:t xml:space="preserve">AI-generated text must be read and understood before inclusion in any document.</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Calibri" w:cs="Calibri" w:eastAsia="Calibri" w:hAnsi="Calibri"/>
                <w:b w:val="false"/>
                <w:bCs w:val="false"/>
                <w:color w:val="6B7280"/>
                <w:sz w:val="20"/>
                <w:szCs w:val="20"/>
              </w:rPr>
              <w:t xml:space="preserve">All text outputs</w:t>
            </w:r>
          </w:p>
        </w:tc>
      </w:tr>
    </w:tbl>
    <w:p>
      <w:pPr>
        <w:pStyle w:val="Heading1"/>
      </w:pPr>
      <w:r>
        <w:t xml:space="preserve">5. Escalation Process</w:t>
      </w:r>
    </w:p>
    <w:p>
      <w:pPr>
        <w:spacing w:after="120"/>
      </w:pPr>
      <w:r>
        <w:rPr>
          <w:rFonts w:ascii="Calibri" w:cs="Calibri" w:eastAsia="Calibri" w:hAnsi="Calibri"/>
          <w:color w:val="1A1A2E"/>
          <w:sz w:val="22"/>
          <w:szCs w:val="22"/>
        </w:rPr>
        <w:t xml:space="preserve">When AI output fails validation or produces incorrect results, the following escalation procedure must be followed immediately:</w:t>
      </w:r>
    </w:p>
    <w:p>
      <w:pPr>
        <w:pStyle w:val="ListParagraph"/>
        <w:numPr>
          <w:ilvl w:val="0"/>
          <w:numId w:val="3"/>
        </w:numPr>
        <w:spacing w:after="100"/>
      </w:pPr>
      <w:r>
        <w:rPr>
          <w:rFonts w:ascii="Calibri" w:cs="Calibri" w:eastAsia="Calibri" w:hAnsi="Calibri"/>
          <w:b/>
          <w:bCs/>
          <w:color w:val="0F1B2D"/>
          <w:sz w:val="22"/>
          <w:szCs w:val="22"/>
        </w:rPr>
        <w:t xml:space="preserve">Stop and Revert: </w:t>
      </w:r>
      <w:r>
        <w:rPr>
          <w:rFonts w:ascii="Calibri" w:cs="Calibri" w:eastAsia="Calibri" w:hAnsi="Calibri"/>
          <w:color w:val="1A1A2E"/>
          <w:sz w:val="22"/>
          <w:szCs w:val="22"/>
        </w:rPr>
        <w:t xml:space="preserve">Do not use the AI output. Revert to manual process immediately. No delays are acceptable.</w:t>
      </w:r>
    </w:p>
    <w:p>
      <w:pPr>
        <w:pStyle w:val="ListParagraph"/>
        <w:numPr>
          <w:ilvl w:val="0"/>
          <w:numId w:val="3"/>
        </w:numPr>
        <w:spacing w:after="100"/>
      </w:pPr>
      <w:r>
        <w:rPr>
          <w:rFonts w:ascii="Calibri" w:cs="Calibri" w:eastAsia="Calibri" w:hAnsi="Calibri"/>
          <w:b/>
          <w:bCs/>
          <w:color w:val="0F1B2D"/>
          <w:sz w:val="22"/>
          <w:szCs w:val="22"/>
        </w:rPr>
        <w:t xml:space="preserve">Document the Failure: </w:t>
      </w:r>
      <w:r>
        <w:rPr>
          <w:rFonts w:ascii="Calibri" w:cs="Calibri" w:eastAsia="Calibri" w:hAnsi="Calibri"/>
          <w:color w:val="1A1A2E"/>
          <w:sz w:val="22"/>
          <w:szCs w:val="22"/>
        </w:rPr>
        <w:t xml:space="preserve">Record: what was the input, what was the expected output, what was the actual output, what went wrong.</w:t>
      </w:r>
    </w:p>
    <w:p>
      <w:pPr>
        <w:pStyle w:val="ListParagraph"/>
        <w:numPr>
          <w:ilvl w:val="0"/>
          <w:numId w:val="3"/>
        </w:numPr>
        <w:spacing w:after="100"/>
      </w:pPr>
      <w:r>
        <w:rPr>
          <w:rFonts w:ascii="Calibri" w:cs="Calibri" w:eastAsia="Calibri" w:hAnsi="Calibri"/>
          <w:b/>
          <w:bCs/>
          <w:color w:val="0F1B2D"/>
          <w:sz w:val="22"/>
          <w:szCs w:val="22"/>
        </w:rPr>
        <w:t xml:space="preserve">Notify Treasury Manager: </w:t>
      </w:r>
      <w:r>
        <w:rPr>
          <w:rFonts w:ascii="Calibri" w:cs="Calibri" w:eastAsia="Calibri" w:hAnsi="Calibri"/>
          <w:color w:val="1A1A2E"/>
          <w:sz w:val="22"/>
          <w:szCs w:val="22"/>
        </w:rPr>
        <w:t xml:space="preserve">Within the same business day. Include the failure documentation. Use the incident template provided.</w:t>
      </w:r>
    </w:p>
    <w:p>
      <w:pPr>
        <w:pStyle w:val="ListParagraph"/>
        <w:numPr>
          <w:ilvl w:val="0"/>
          <w:numId w:val="3"/>
        </w:numPr>
        <w:spacing w:after="100"/>
      </w:pPr>
      <w:r>
        <w:rPr>
          <w:rFonts w:ascii="Calibri" w:cs="Calibri" w:eastAsia="Calibri" w:hAnsi="Calibri"/>
          <w:b/>
          <w:bCs/>
          <w:color w:val="0F1B2D"/>
          <w:sz w:val="22"/>
          <w:szCs w:val="22"/>
        </w:rPr>
        <w:t xml:space="preserve">Root Cause Analysis: </w:t>
      </w:r>
      <w:r>
        <w:rPr>
          <w:rFonts w:ascii="Calibri" w:cs="Calibri" w:eastAsia="Calibri" w:hAnsi="Calibri"/>
          <w:color w:val="1A1A2E"/>
          <w:sz w:val="22"/>
          <w:szCs w:val="22"/>
        </w:rPr>
        <w:t xml:space="preserve">Determine whether the failure was caused by: bad input data, incorrect prompt, AI hallucination, tool malfunction, or user error.</w:t>
      </w:r>
    </w:p>
    <w:p>
      <w:pPr>
        <w:pStyle w:val="ListParagraph"/>
        <w:numPr>
          <w:ilvl w:val="0"/>
          <w:numId w:val="3"/>
        </w:numPr>
        <w:spacing w:after="100"/>
      </w:pPr>
      <w:r>
        <w:rPr>
          <w:rFonts w:ascii="Calibri" w:cs="Calibri" w:eastAsia="Calibri" w:hAnsi="Calibri"/>
          <w:b/>
          <w:bCs/>
          <w:color w:val="0F1B2D"/>
          <w:sz w:val="22"/>
          <w:szCs w:val="22"/>
        </w:rPr>
        <w:t xml:space="preserve">Fix and Retest: </w:t>
      </w:r>
      <w:r>
        <w:rPr>
          <w:rFonts w:ascii="Calibri" w:cs="Calibri" w:eastAsia="Calibri" w:hAnsi="Calibri"/>
          <w:color w:val="1A1A2E"/>
          <w:sz w:val="22"/>
          <w:szCs w:val="22"/>
        </w:rPr>
        <w:t xml:space="preserve">Adjust the prompt, workflow, or data preparation as needed. Run the corrected process on the same data. Verify the fix produces correct output.</w:t>
      </w:r>
    </w:p>
    <w:p>
      <w:pPr>
        <w:pStyle w:val="ListParagraph"/>
        <w:numPr>
          <w:ilvl w:val="0"/>
          <w:numId w:val="3"/>
        </w:numPr>
        <w:spacing w:after="100"/>
      </w:pPr>
      <w:r>
        <w:rPr>
          <w:rFonts w:ascii="Calibri" w:cs="Calibri" w:eastAsia="Calibri" w:hAnsi="Calibri"/>
          <w:b/>
          <w:bCs/>
          <w:color w:val="0F1B2D"/>
          <w:sz w:val="22"/>
          <w:szCs w:val="22"/>
        </w:rPr>
        <w:t xml:space="preserve">Update Policy if Needed: </w:t>
      </w:r>
      <w:r>
        <w:rPr>
          <w:rFonts w:ascii="Calibri" w:cs="Calibri" w:eastAsia="Calibri" w:hAnsi="Calibri"/>
          <w:color w:val="1A1A2E"/>
          <w:sz w:val="22"/>
          <w:szCs w:val="22"/>
        </w:rPr>
        <w:t xml:space="preserve">If the failure reveals a gap in this policy (new data type, missing rule, unclear classification), update this document and communicate the change to the team.</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F0F9F7" w:val="clear"/>
            <w:tcMar>
              <w:top w:type="dxa" w:w="200"/>
              <w:left w:type="dxa" w:w="200"/>
              <w:bottom w:type="dxa" w:w="200"/>
              <w:right w:type="dxa" w:w="200"/>
            </w:tcMar>
          </w:tcPr>
          <w:p>
            <w:r>
              <w:rPr>
                <w:rFonts w:ascii="Trebuchet MS" w:cs="Trebuchet MS" w:eastAsia="Trebuchet MS" w:hAnsi="Trebuchet MS"/>
                <w:b/>
                <w:bCs/>
                <w:color w:val="0F1B2D"/>
                <w:sz w:val="24"/>
                <w:szCs w:val="24"/>
              </w:rPr>
              <w:t xml:space="preserve">ACKNOWLEDGMENT</w:t>
            </w:r>
          </w:p>
          <w:p>
            <w:pPr>
              <w:spacing w:before="120"/>
            </w:pPr>
            <w:r>
              <w:rPr>
                <w:rFonts w:ascii="Calibri" w:cs="Calibri" w:eastAsia="Calibri" w:hAnsi="Calibri"/>
                <w:color w:val="1A1A2E"/>
                <w:sz w:val="22"/>
                <w:szCs w:val="22"/>
              </w:rPr>
              <w:t xml:space="preserve">I have read, understood, and agree to comply with this Treasury AI Policy.</w:t>
            </w:r>
          </w:p>
          <w:p>
            <w:pPr>
              <w:spacing w:before="200"/>
            </w:pPr>
          </w:p>
          <w:p>
            <w:r>
              <w:rPr>
                <w:rFonts w:ascii="Calibri" w:cs="Calibri" w:eastAsia="Calibri" w:hAnsi="Calibri"/>
                <w:color w:val="6B7280"/>
                <w:sz w:val="22"/>
                <w:szCs w:val="22"/>
              </w:rPr>
              <w:t xml:space="preserve">Name: ________________________________     Signature: ________________________________</w:t>
            </w:r>
          </w:p>
          <w:p>
            <w:pPr>
              <w:spacing w:before="100"/>
            </w:pPr>
          </w:p>
          <w:p>
            <w:r>
              <w:rPr>
                <w:rFonts w:ascii="Calibri" w:cs="Calibri" w:eastAsia="Calibri" w:hAnsi="Calibri"/>
                <w:color w:val="6B7280"/>
                <w:sz w:val="22"/>
                <w:szCs w:val="22"/>
              </w:rPr>
              <w:t xml:space="preserve">Date: ________________________________      Role: ________________________________</w:t>
            </w:r>
          </w:p>
        </w:tc>
      </w:tr>
    </w:tbl>
    <w:p>
      <w:pPr>
        <w:spacing w:before="200"/>
      </w:pPr>
    </w:p>
    <w:p>
      <w:pPr>
        <w:jc w:val="center"/>
      </w:pPr>
      <w:r>
        <w:rPr>
          <w:rFonts w:ascii="Calibri" w:cs="Calibri" w:eastAsia="Calibri" w:hAnsi="Calibri"/>
          <w:color w:val="6B7280"/>
          <w:sz w:val="16"/>
          <w:szCs w:val="16"/>
        </w:rPr>
        <w:t xml:space="preserve">AI in Treasury Course  |  Module 4  |  Treasury Ease Solutions S.R.L.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Treasury AI Policy  |  [Company Name]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b/>
        <w:bCs/>
        <w:color w:val="E74C3C"/>
        <w:sz w:val="16"/>
        <w:szCs w:val="16"/>
      </w:rPr>
      <w:t xml:space="preserve">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Trebuchet MS" w:cs="Trebuchet MS" w:eastAsia="Trebuchet MS" w:hAnsi="Trebuchet MS"/>
      <w:b/>
      <w:bCs/>
      <w:color w:val="0F1B2D"/>
      <w:sz w:val="32"/>
      <w:szCs w:val="32"/>
    </w:rPr>
  </w:style>
  <w:style w:type="paragraph" w:styleId="Heading2">
    <w:name w:val="Heading 2"/>
    <w:basedOn w:val="Normal"/>
    <w:next w:val="Normal"/>
    <w:qFormat/>
    <w:pPr>
      <w:spacing w:after="120" w:before="240"/>
      <w:outlineLvl w:val="1"/>
    </w:pPr>
    <w:rPr>
      <w:rFonts w:ascii="Trebuchet MS" w:cs="Trebuchet MS" w:eastAsia="Trebuchet MS" w:hAnsi="Trebuchet MS"/>
      <w:b/>
      <w:bCs/>
      <w:color w:val="14919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2026-03-04T18:01:08.757Z</dcterms:created>
  <dcterms:modified xsi:type="dcterms:W3CDTF">2026-03-04T18:01:08.758Z</dcterms:modified>
</cp:coreProperties>
</file>

<file path=docProps/custom.xml><?xml version="1.0" encoding="utf-8"?>
<Properties xmlns="http://schemas.openxmlformats.org/officeDocument/2006/custom-properties" xmlns:vt="http://schemas.openxmlformats.org/officeDocument/2006/docPropsVTypes"/>
</file>